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b/>
          <w:sz w:val="30"/>
        </w:rPr>
        <w:t xml:space="preserve">PVM SĄSKAITA FAKTŪRA</w:t>
      </w:r>
    </w:p>
    <w:p>
      <w:pPr>
        <w:spacing w:after="240"/>
        <w:jc w:val="center"/>
      </w:pPr>
      <w:r>
        <w:rPr/>
        <w:t xml:space="preserve">Serija ____ Nr. ________   ·   Data ____-__-__</w:t>
      </w:r>
    </w:p>
    <w:tbl>
      <w:tblPr>
        <w:tblW w:w="9600" w:type="dxa"/>
      </w:tblPr>
      <w:tblGrid>
        <w:gridCol w:w="4800"/>
        <w:gridCol w:w="4800"/>
      </w:tblGrid>
      <w:tr>
        <w:tc>
          <w:tcPr>
            <w:tcW w:w="4800" w:type="dxa"/>
          </w:tcPr>
          <w:p>
            <w:pPr>
              <w:spacing w:after="40"/>
            </w:pPr>
            <w:r>
              <w:rPr>
                <w:b/>
              </w:rPr>
              <w:t xml:space="preserve">Pardavėjas</w:t>
            </w:r>
          </w:p>
          <w:p>
            <w:pPr>
              <w:spacing w:after="20"/>
            </w:pPr>
            <w:r>
              <w:rPr>
                <w:color w:val="888888"/>
              </w:rPr>
              <w:t xml:space="preserve">Pavadinimas</w:t>
            </w:r>
          </w:p>
          <w:p>
            <w:pPr>
              <w:spacing w:after="20"/>
            </w:pPr>
            <w:r>
              <w:rPr>
                <w:color w:val="888888"/>
              </w:rPr>
              <w:t xml:space="preserve">Įmonės kodas · PVM mokėtojo kodas</w:t>
            </w:r>
          </w:p>
          <w:p>
            <w:pPr>
              <w:spacing w:after="20"/>
            </w:pPr>
            <w:r>
              <w:rPr>
                <w:color w:val="888888"/>
              </w:rPr>
              <w:t xml:space="preserve">Adresas</w:t>
            </w:r>
          </w:p>
          <w:p>
            <w:pPr>
              <w:spacing w:after="20"/>
            </w:pPr>
            <w:r>
              <w:rPr>
                <w:color w:val="888888"/>
              </w:rPr>
              <w:t xml:space="preserve">A/s IBAN, bankas</w:t>
            </w:r>
          </w:p>
        </w:tc>
        <w:tc>
          <w:tcPr>
            <w:tcW w:w="4800" w:type="dxa"/>
          </w:tcPr>
          <w:p>
            <w:pPr>
              <w:spacing w:after="40"/>
            </w:pPr>
            <w:r>
              <w:rPr>
                <w:b/>
              </w:rPr>
              <w:t xml:space="preserve">Pirkėjas</w:t>
            </w:r>
          </w:p>
          <w:p>
            <w:pPr>
              <w:spacing w:after="20"/>
            </w:pPr>
            <w:r>
              <w:rPr>
                <w:color w:val="888888"/>
              </w:rPr>
              <w:t xml:space="preserve">Pavadinimas</w:t>
            </w:r>
          </w:p>
          <w:p>
            <w:pPr>
              <w:spacing w:after="20"/>
            </w:pPr>
            <w:r>
              <w:rPr>
                <w:color w:val="888888"/>
              </w:rPr>
              <w:t xml:space="preserve">Įmonės kodas · PVM mokėtojo kodas</w:t>
            </w:r>
          </w:p>
          <w:p>
            <w:pPr>
              <w:spacing w:after="20"/>
            </w:pPr>
            <w:r>
              <w:rPr>
                <w:color w:val="888888"/>
              </w:rPr>
              <w:t xml:space="preserve">Adresas</w:t>
            </w:r>
          </w:p>
        </w:tc>
      </w:tr>
    </w:tbl>
    <w:p>
      <w:pPr>
        <w:spacing w:after="120"/>
      </w:pPr>
      <w:r>
        <w:rPr/>
        <w:t xml:space="preserve"> </w:t>
      </w:r>
    </w:p>
    <w:tbl>
      <w:tblPr>
        <w:tblW w:w="96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4300"/>
        <w:gridCol w:w="1500"/>
        <w:gridCol w:w="1900"/>
        <w:gridCol w:w="1900"/>
      </w:tblGrid>
      <w:tr>
        <w:tc>
          <w:tcPr>
            <w:tcW w:w="4300" w:type="dxa"/>
          </w:tcPr>
          <w:p>
            <w:pPr>
              <w:spacing w:after="40"/>
            </w:pPr>
            <w:r>
              <w:rPr>
                <w:b/>
              </w:rPr>
              <w:t xml:space="preserve">Pavadinimas</w:t>
            </w:r>
          </w:p>
        </w:tc>
        <w:tc>
          <w:tcPr>
            <w:tcW w:w="1500" w:type="dxa"/>
          </w:tcPr>
          <w:p>
            <w:pPr>
              <w:spacing w:after="40"/>
              <w:jc w:val="right"/>
            </w:pPr>
            <w:r>
              <w:rPr>
                <w:b/>
              </w:rPr>
              <w:t xml:space="preserve">Kiekis</w:t>
            </w:r>
          </w:p>
        </w:tc>
        <w:tc>
          <w:tcPr>
            <w:tcW w:w="1900" w:type="dxa"/>
          </w:tcPr>
          <w:p>
            <w:pPr>
              <w:spacing w:after="40"/>
              <w:jc w:val="right"/>
            </w:pPr>
            <w:r>
              <w:rPr>
                <w:b/>
              </w:rPr>
              <w:t xml:space="preserve">Kaina be PVM</w:t>
            </w:r>
          </w:p>
        </w:tc>
        <w:tc>
          <w:tcPr>
            <w:tcW w:w="1900" w:type="dxa"/>
          </w:tcPr>
          <w:p>
            <w:pPr>
              <w:spacing w:after="40"/>
              <w:jc w:val="right"/>
            </w:pPr>
            <w:r>
              <w:rPr>
                <w:b/>
              </w:rPr>
              <w:t xml:space="preserve">Suma be PVM</w:t>
            </w: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>
                <w:color w:val="888888"/>
              </w:rPr>
              <w:t xml:space="preserve">Prekė arba paslauga</w:t>
            </w:r>
          </w:p>
        </w:tc>
        <w:tc>
          <w:tcPr>
            <w:tcW w:w="1500" w:type="dxa"/>
          </w:tcPr>
          <w:p>
            <w:pPr>
              <w:spacing w:after="40"/>
              <w:jc w:val="right"/>
            </w:pPr>
            <w:r>
              <w:rPr>
                <w:color w:val="888888"/>
              </w:rPr>
              <w:t xml:space="preserve">1 vnt.</w:t>
            </w:r>
          </w:p>
        </w:tc>
        <w:tc>
          <w:tcPr>
            <w:tcW w:w="1900" w:type="dxa"/>
          </w:tcPr>
          <w:p>
            <w:pPr>
              <w:spacing w:after="40"/>
              <w:jc w:val="right"/>
            </w:pPr>
            <w:r>
              <w:rPr>
                <w:color w:val="888888"/>
              </w:rPr>
              <w:t xml:space="preserve">0,00</w:t>
            </w:r>
          </w:p>
        </w:tc>
        <w:tc>
          <w:tcPr>
            <w:tcW w:w="1900" w:type="dxa"/>
          </w:tcPr>
          <w:p>
            <w:pPr>
              <w:spacing w:after="40"/>
              <w:jc w:val="right"/>
            </w:pPr>
            <w:r>
              <w:rPr>
                <w:color w:val="888888"/>
              </w:rPr>
              <w:t xml:space="preserve">0,00</w:t>
            </w: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 </w:t>
            </w:r>
          </w:p>
        </w:tc>
        <w:tc>
          <w:tcPr>
            <w:tcW w:w="1500" w:type="dxa"/>
          </w:tcPr>
          <w:p>
            <w:pPr>
              <w:spacing w:after="40"/>
            </w:pPr>
            <w:r>
              <w:rPr/>
              <w:t xml:space="preserve"> </w:t>
            </w:r>
          </w:p>
        </w:tc>
        <w:tc>
          <w:tcPr>
            <w:tcW w:w="1900" w:type="dxa"/>
          </w:tcPr>
          <w:p>
            <w:pPr>
              <w:spacing w:after="40"/>
            </w:pPr>
            <w:r>
              <w:rPr/>
              <w:t xml:space="preserve"> </w:t>
            </w:r>
          </w:p>
        </w:tc>
        <w:tc>
          <w:tcPr>
            <w:tcW w:w="1900" w:type="dxa"/>
          </w:tcPr>
          <w:p>
            <w:pPr>
              <w:spacing w:after="40"/>
            </w:pPr>
            <w:r>
              <w:rPr/>
              <w:t xml:space="preserve"> </w:t>
            </w:r>
          </w:p>
        </w:tc>
      </w:t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 </w:t>
            </w:r>
          </w:p>
        </w:tc>
        <w:tc>
          <w:tcPr>
            <w:tcW w:w="1500" w:type="dxa"/>
          </w:tcPr>
          <w:p>
            <w:pPr>
              <w:spacing w:after="40"/>
            </w:pPr>
            <w:r>
              <w:rPr/>
              <w:t xml:space="preserve"> </w:t>
            </w:r>
          </w:p>
        </w:tc>
        <w:tc>
          <w:tcPr>
            <w:tcW w:w="1900" w:type="dxa"/>
          </w:tcPr>
          <w:p>
            <w:pPr>
              <w:spacing w:after="40"/>
            </w:pPr>
            <w:r>
              <w:rPr/>
              <w:t xml:space="preserve"> </w:t>
            </w:r>
          </w:p>
        </w:tc>
        <w:tc>
          <w:tcPr>
            <w:tcW w:w="1900" w:type="dxa"/>
          </w:tcPr>
          <w:p>
            <w:pPr>
              <w:spacing w:after="40"/>
            </w:pPr>
            <w:r>
              <w:rPr/>
              <w:t xml:space="preserve"> </w:t>
            </w:r>
          </w:p>
        </w:tc>
      </w:tr>
    </w:tbl>
    <w:p>
      <w:pPr>
        <w:spacing w:after="120"/>
      </w:pPr>
      <w:r>
        <w:rPr/>
        <w:t xml:space="preserve"> </w:t>
      </w:r>
    </w:p>
    <w:p>
      <w:pPr>
        <w:spacing w:after="40"/>
        <w:jc w:val="right"/>
      </w:pPr>
      <w:r>
        <w:rPr/>
        <w:t xml:space="preserve">Suma be PVM: </w:t>
      </w:r>
      <w:r>
        <w:rPr>
          <w:b/>
        </w:rPr>
        <w:t xml:space="preserve">0,00 €</w:t>
      </w:r>
    </w:p>
    <w:p>
      <w:pPr>
        <w:spacing w:after="40"/>
        <w:jc w:val="right"/>
      </w:pPr>
      <w:r>
        <w:rPr/>
        <w:t xml:space="preserve">PVM 21 %: </w:t>
      </w:r>
      <w:r>
        <w:rPr>
          <w:b/>
        </w:rPr>
        <w:t xml:space="preserve">0,00 €</w:t>
      </w:r>
    </w:p>
    <w:p>
      <w:pPr>
        <w:spacing w:after="200"/>
        <w:jc w:val="right"/>
      </w:pPr>
      <w:r>
        <w:rPr/>
        <w:t xml:space="preserve">Iš viso su PVM: </w:t>
      </w:r>
      <w:r>
        <w:rPr>
          <w:b/>
        </w:rPr>
        <w:t xml:space="preserve">0,00 €</w:t>
      </w:r>
    </w:p>
    <w:p>
      <w:pPr>
        <w:spacing w:after="80"/>
      </w:pPr>
      <w:r>
        <w:rPr/>
        <w:t xml:space="preserve">Apmokėti iki ____-__-__. Mokėjimo paskirtyje nurodykite sąskaitos numerį.</w:t>
      </w:r>
    </w:p>
    <w:p>
      <w:pPr>
        <w:spacing w:after="80"/>
      </w:pPr>
      <w:r>
        <w:rPr>
          <w:color w:val="444444"/>
          <w:sz w:val="18"/>
        </w:rPr>
        <w:t xml:space="preserve">Privalomos nuorodos, kai taikoma (PVMĮ 80 str. 1 d.): 13 p. — PVM neapmokestinama / 0 % pagrindas; 15 p. — maržos schema; 17 p. — „Atvirkštinis apmokestinimas".</w:t>
      </w:r>
    </w:p>
    <w:p>
      <w:pPr>
        <w:spacing w:after="240"/>
      </w:pPr>
      <w:r>
        <w:rPr>
          <w:color w:val="444444"/>
          <w:sz w:val="18"/>
        </w:rPr>
        <w:t xml:space="preserve">Ne PVM mokėtojas: pavadinimas „SĄSKAITA FAKTŪRA", be PVM laukų, su pastaba „Pardavėjas nėra PVM mokėtojas — PVM neskaičiuojamas (PVMĮ 71 str.)".</w:t>
      </w:r>
    </w:p>
    <w:p>
      <w:pPr>
        <w:spacing w:after="80"/>
        <w:jc w:val="center"/>
      </w:pPr>
      <w:r>
        <w:rPr>
          <w:color w:val="888888"/>
          <w:sz w:val="16"/>
        </w:rPr>
        <w:t xml:space="preserve">Šablonas iš finbu.lt — automatinė apskaita, kurią prižiūri vyr. buhalteris.</w:t>
      </w:r>
    </w:p>
    <w:sectPr>
      <w:pgSz w:w="11906" w:h="16838"/>
      <w:pgMar w:top="1134" w:right="1134" w:bottom="1134" w:left="1134" w:header="708" w:footer="708" w:gutter="0"/>
    </w:sectPr>
  </w:body>
</w:document>
</file>